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8" w:rsidRPr="000027B8" w:rsidRDefault="000027B8" w:rsidP="000027B8">
      <w:pPr>
        <w:shd w:val="clear" w:color="auto" w:fill="FFFFFF"/>
        <w:spacing w:after="0" w:line="253" w:lineRule="atLeast"/>
        <w:rPr>
          <w:rFonts w:ascii="Segoe UI" w:eastAsia="Times New Roman" w:hAnsi="Segoe UI" w:cs="Segoe UI"/>
          <w:i/>
          <w:iCs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ПЕРЕЧЕНЬ</w:t>
      </w:r>
    </w:p>
    <w:p w:rsidR="000027B8" w:rsidRPr="000027B8" w:rsidRDefault="000027B8" w:rsidP="000027B8">
      <w:pPr>
        <w:shd w:val="clear" w:color="auto" w:fill="FFFFFF"/>
        <w:spacing w:after="0" w:line="253" w:lineRule="atLeast"/>
        <w:rPr>
          <w:rFonts w:ascii="Segoe UI" w:eastAsia="Times New Roman" w:hAnsi="Segoe UI" w:cs="Segoe UI"/>
          <w:i/>
          <w:iCs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ЛЕКАРСТВЕННЫХ ПРЕПАРАТОВ, ПРЕДНАЗНАЧЕННЫХ</w:t>
      </w:r>
    </w:p>
    <w:p w:rsidR="000027B8" w:rsidRPr="000027B8" w:rsidRDefault="000027B8" w:rsidP="000027B8">
      <w:pPr>
        <w:shd w:val="clear" w:color="auto" w:fill="FFFFFF"/>
        <w:spacing w:after="0" w:line="253" w:lineRule="atLeast"/>
        <w:rPr>
          <w:rFonts w:ascii="Segoe UI" w:eastAsia="Times New Roman" w:hAnsi="Segoe UI" w:cs="Segoe UI"/>
          <w:i/>
          <w:iCs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ДЛЯ ОБЕСПЕЧЕНИЯ ЛИЦ, БОЛЬНЫХ ГЕМОФИЛИЕЙ, МУКОВИСЦИДОЗОМ,</w:t>
      </w:r>
    </w:p>
    <w:p w:rsidR="000027B8" w:rsidRPr="000027B8" w:rsidRDefault="000027B8" w:rsidP="000027B8">
      <w:pPr>
        <w:shd w:val="clear" w:color="auto" w:fill="FFFFFF"/>
        <w:spacing w:after="0" w:line="253" w:lineRule="atLeast"/>
        <w:rPr>
          <w:rFonts w:ascii="Segoe UI" w:eastAsia="Times New Roman" w:hAnsi="Segoe UI" w:cs="Segoe UI"/>
          <w:i/>
          <w:iCs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ГИПОФИЗАРНЫМ НАНИЗМОМ, БОЛЕЗНЬЮ ГОШЕ, </w:t>
      </w:r>
      <w:proofErr w:type="gramStart"/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ЗЛОКАЧЕСТВЕННЫМИ</w:t>
      </w:r>
      <w:proofErr w:type="gramEnd"/>
    </w:p>
    <w:p w:rsidR="000027B8" w:rsidRPr="000027B8" w:rsidRDefault="000027B8" w:rsidP="000027B8">
      <w:pPr>
        <w:shd w:val="clear" w:color="auto" w:fill="FFFFFF"/>
        <w:spacing w:after="0" w:line="253" w:lineRule="atLeast"/>
        <w:rPr>
          <w:rFonts w:ascii="Segoe UI" w:eastAsia="Times New Roman" w:hAnsi="Segoe UI" w:cs="Segoe UI"/>
          <w:i/>
          <w:iCs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НОВООБРАЗОВАНИЯМИ </w:t>
      </w:r>
      <w:proofErr w:type="gramStart"/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ЛИМФОИДНОЙ</w:t>
      </w:r>
      <w:proofErr w:type="gramEnd"/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, КРОВЕТВОРНОЙ И РОДСТВЕННЫХ</w:t>
      </w:r>
    </w:p>
    <w:p w:rsidR="000027B8" w:rsidRPr="000027B8" w:rsidRDefault="000027B8" w:rsidP="000027B8">
      <w:pPr>
        <w:shd w:val="clear" w:color="auto" w:fill="FFFFFF"/>
        <w:spacing w:after="0" w:line="253" w:lineRule="atLeast"/>
        <w:rPr>
          <w:rFonts w:ascii="Segoe UI" w:eastAsia="Times New Roman" w:hAnsi="Segoe UI" w:cs="Segoe UI"/>
          <w:i/>
          <w:iCs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ИМ ТКАНЕЙ, РАССЕЯННЫМ СКЛЕРОЗОМ, ЛИЦ ПОСЛЕ ТРАНСПЛАНТАЦИИ</w:t>
      </w:r>
    </w:p>
    <w:p w:rsidR="000027B8" w:rsidRPr="000027B8" w:rsidRDefault="000027B8" w:rsidP="000027B8">
      <w:pPr>
        <w:shd w:val="clear" w:color="auto" w:fill="FFFFFF"/>
        <w:spacing w:after="0" w:line="253" w:lineRule="atLeast"/>
        <w:rPr>
          <w:rFonts w:ascii="Segoe UI" w:eastAsia="Times New Roman" w:hAnsi="Segoe UI" w:cs="Segoe UI"/>
          <w:i/>
          <w:iCs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ОРГАНОВ И (ИЛИ) ТКАНЕЙ</w:t>
      </w:r>
    </w:p>
    <w:p w:rsidR="000027B8" w:rsidRPr="000027B8" w:rsidRDefault="000027B8" w:rsidP="000027B8">
      <w:pPr>
        <w:shd w:val="clear" w:color="auto" w:fill="FFFFFF"/>
        <w:spacing w:before="230" w:after="230" w:line="253" w:lineRule="atLeast"/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</w:pPr>
      <w:r w:rsidRPr="000027B8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8"/>
        <w:gridCol w:w="3998"/>
        <w:gridCol w:w="3998"/>
      </w:tblGrid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Код АТХ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Анатомо-терапевтическо-химическая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классификация (АТХ)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Лекарственные препараты</w:t>
            </w:r>
          </w:p>
        </w:tc>
      </w:tr>
      <w:tr w:rsidR="000027B8" w:rsidRPr="000027B8" w:rsidTr="000027B8">
        <w:tc>
          <w:tcPr>
            <w:tcW w:w="3998" w:type="dxa"/>
            <w:gridSpan w:val="3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кровь и система кроветворения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B02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гемостатические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средства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B02B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витамин K и другие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гемостатики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B02BD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факторы свертывания крови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антиингибиторный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коагулянтный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комплекс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мороктоког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альфа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октоког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альфа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фактор свертывания крови VIII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фактор свертывания крови IX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Виллебранда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эптаког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альфа (</w:t>
            </w:r>
            <w:proofErr w:type="gram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активированный</w:t>
            </w:r>
            <w:proofErr w:type="gram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)</w:t>
            </w:r>
          </w:p>
        </w:tc>
      </w:tr>
      <w:tr w:rsidR="000027B8" w:rsidRPr="000027B8" w:rsidTr="000027B8">
        <w:tc>
          <w:tcPr>
            <w:tcW w:w="3998" w:type="dxa"/>
            <w:gridSpan w:val="3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II. Лекарственные препараты, которыми обеспечивают больные муковисцидозом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R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дыхательная система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R05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R05C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отхаркивающие препараты, кроме комбинаций </w:t>
            </w: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с противокашлевыми средствами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R05CB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муколитические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препараты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дорназа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альфа</w:t>
            </w:r>
          </w:p>
        </w:tc>
      </w:tr>
      <w:tr w:rsidR="000027B8" w:rsidRPr="000027B8" w:rsidTr="000027B8">
        <w:tc>
          <w:tcPr>
            <w:tcW w:w="3998" w:type="dxa"/>
            <w:gridSpan w:val="3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H01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H01A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H01AC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соматропин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и его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агонисты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соматропин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gridSpan w:val="3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A16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другие препараты для лечения заболеваний желудочно-кишечного тракта и нарушений </w:t>
            </w: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обмена веществ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A16A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A16AB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ферментные препараты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велаглюцераза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альфа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имиглюцераза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gridSpan w:val="3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V. </w:t>
            </w:r>
            <w:proofErr w:type="gram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макроглобулинемия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Вальденстрема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, множественная миелома, фолликулярная (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нодулярная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мелкоклеточная (диффузная)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крупноклеточная (диффузная)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иммунобластная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(диффузная)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другие типы диффузных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неходжкинских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диффузная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неуточненная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другие и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неуточненные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типы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неходжкинской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лимфомы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, хронический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лимфоцитарный</w:t>
            </w:r>
            <w:proofErr w:type="spellEnd"/>
            <w:proofErr w:type="gram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лейкоз)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противоопухолевые препараты и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L01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противоопухолевые препараты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L01B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антиметаболиты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L01BB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аналоги пурина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флударабин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L01X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другие противоопухолевые препараты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L01XC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моноклональные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антитела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ритуксимаб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L01XE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ингибиторы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протеинкиназы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иматиниб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L01XX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прочие противоопухолевые препараты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бортезомиб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L04AX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другие иммунодепрессанты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леналидомид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gridSpan w:val="3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L03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L03A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L03AB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интерфероны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интерферон бета-1a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L03AX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другие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интерферон бета-1b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L04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глатирамера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ацетат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L04A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L04AA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селективные иммунодепрессанты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натализумаб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gridSpan w:val="3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противоопухолевые препараты и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L04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L04A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иммунодепрессанты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L04AA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селективные иммунодепрессанты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микофенолата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мофетил</w:t>
            </w:r>
            <w:proofErr w:type="spellEnd"/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микофеноловая</w:t>
            </w:r>
            <w:proofErr w:type="spellEnd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 кислота</w:t>
            </w:r>
          </w:p>
        </w:tc>
      </w:tr>
      <w:tr w:rsidR="000027B8" w:rsidRPr="000027B8" w:rsidTr="000027B8"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jc w:val="center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lastRenderedPageBreak/>
              <w:t>L04AD</w:t>
            </w:r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 xml:space="preserve">ингибиторы </w:t>
            </w: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кальциневрина</w:t>
            </w:r>
            <w:proofErr w:type="spellEnd"/>
          </w:p>
        </w:tc>
        <w:tc>
          <w:tcPr>
            <w:tcW w:w="3998" w:type="dxa"/>
            <w:tcBorders>
              <w:top w:val="single" w:sz="6" w:space="0" w:color="3C67C2"/>
              <w:left w:val="single" w:sz="6" w:space="0" w:color="3C67C2"/>
              <w:bottom w:val="single" w:sz="6" w:space="0" w:color="3C67C2"/>
              <w:right w:val="single" w:sz="6" w:space="0" w:color="3C67C2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такролимус</w:t>
            </w:r>
            <w:proofErr w:type="spellEnd"/>
          </w:p>
          <w:p w:rsidR="000027B8" w:rsidRPr="000027B8" w:rsidRDefault="000027B8" w:rsidP="000027B8">
            <w:pPr>
              <w:spacing w:before="230" w:after="230" w:line="253" w:lineRule="atLeast"/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0027B8">
              <w:rPr>
                <w:rFonts w:ascii="Segoe UI" w:eastAsia="Times New Roman" w:hAnsi="Segoe UI" w:cs="Segoe UI"/>
                <w:color w:val="333333"/>
                <w:sz w:val="17"/>
                <w:szCs w:val="17"/>
                <w:lang w:eastAsia="ru-RU"/>
              </w:rPr>
              <w:t>циклоспорин</w:t>
            </w:r>
            <w:proofErr w:type="spellEnd"/>
          </w:p>
        </w:tc>
      </w:tr>
    </w:tbl>
    <w:p w:rsidR="00CB2DF9" w:rsidRDefault="00CB2DF9"/>
    <w:sectPr w:rsidR="00CB2DF9" w:rsidSect="000027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27B8"/>
    <w:rsid w:val="000027B8"/>
    <w:rsid w:val="00C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027B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027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>Центральная районная больница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 рецептов</dc:creator>
  <cp:keywords/>
  <dc:description/>
  <cp:lastModifiedBy>Выписка рецептов</cp:lastModifiedBy>
  <cp:revision>2</cp:revision>
  <dcterms:created xsi:type="dcterms:W3CDTF">2017-03-24T05:22:00Z</dcterms:created>
  <dcterms:modified xsi:type="dcterms:W3CDTF">2017-03-24T05:23:00Z</dcterms:modified>
</cp:coreProperties>
</file>